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8550"/>
      </w:tblGrid>
      <w:tr w:rsidR="00E53F73" w14:paraId="56974596" w14:textId="77777777" w:rsidTr="00A84ACF">
        <w:trPr>
          <w:trHeight w:val="1000"/>
        </w:trPr>
        <w:tc>
          <w:tcPr>
            <w:tcW w:w="11047" w:type="dxa"/>
            <w:gridSpan w:val="2"/>
            <w:tcBorders>
              <w:bottom w:val="nil"/>
            </w:tcBorders>
          </w:tcPr>
          <w:p w14:paraId="3A5B2B42" w14:textId="3B1CB390" w:rsidR="00E53F73" w:rsidRDefault="00A16159">
            <w:pPr>
              <w:pStyle w:val="TableParagraph"/>
              <w:spacing w:before="76" w:line="223" w:lineRule="auto"/>
              <w:ind w:left="93" w:right="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IMPORTANT CREDIT CARD DISCLOSURES. </w:t>
            </w:r>
            <w:r>
              <w:rPr>
                <w:sz w:val="20"/>
              </w:rPr>
              <w:t>The following disclosure represents important details concerning Your Credit Card. The information about costs of the Card are accurate as of the 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="00220628">
              <w:rPr>
                <w:spacing w:val="80"/>
                <w:u w:val="single"/>
              </w:rPr>
              <w:t>December18</w:t>
            </w:r>
            <w:r w:rsidR="00F1234D" w:rsidRPr="00F1234D">
              <w:rPr>
                <w:u w:val="single"/>
              </w:rPr>
              <w:t>,</w:t>
            </w:r>
            <w:r w:rsidRPr="00F1234D">
              <w:rPr>
                <w:spacing w:val="-4"/>
                <w:u w:val="single"/>
              </w:rPr>
              <w:t xml:space="preserve"> </w:t>
            </w:r>
            <w:proofErr w:type="gramStart"/>
            <w:r w:rsidRPr="00F1234D">
              <w:rPr>
                <w:u w:val="single"/>
              </w:rPr>
              <w:t>202</w:t>
            </w:r>
            <w:r w:rsidR="00220628">
              <w:rPr>
                <w:u w:val="single"/>
              </w:rPr>
              <w:t>4</w:t>
            </w:r>
            <w:r>
              <w:rPr>
                <w:spacing w:val="80"/>
                <w:sz w:val="24"/>
                <w:u w:val="single"/>
              </w:rPr>
              <w:t xml:space="preserve"> 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You can call Us at (800) 652-2328 or write Us at 711 Beaver Creek Road, Piketon, OH 45661 to inquire if any changes have occurred since the effective date.</w:t>
            </w:r>
          </w:p>
        </w:tc>
      </w:tr>
      <w:tr w:rsidR="00E53F73" w14:paraId="5DDD7FDD" w14:textId="77777777" w:rsidTr="00A84ACF">
        <w:trPr>
          <w:trHeight w:val="251"/>
        </w:trPr>
        <w:tc>
          <w:tcPr>
            <w:tcW w:w="1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5577B1" w14:textId="77777777" w:rsidR="00E53F73" w:rsidRDefault="00A16159">
            <w:pPr>
              <w:pStyle w:val="TableParagraph"/>
              <w:spacing w:before="13" w:line="218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Interest</w:t>
            </w:r>
            <w:r>
              <w:rPr>
                <w:b/>
                <w:color w:val="FFFFFF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Rate</w:t>
            </w:r>
            <w:r>
              <w:rPr>
                <w:b/>
                <w:color w:val="FFFFFF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and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Interest</w:t>
            </w:r>
            <w:r>
              <w:rPr>
                <w:b/>
                <w:color w:val="FFFFFF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Charges</w:t>
            </w:r>
          </w:p>
        </w:tc>
      </w:tr>
      <w:tr w:rsidR="00E53F73" w14:paraId="01CA7D87" w14:textId="77777777" w:rsidTr="00A84ACF">
        <w:trPr>
          <w:trHeight w:val="1613"/>
        </w:trPr>
        <w:tc>
          <w:tcPr>
            <w:tcW w:w="2497" w:type="dxa"/>
          </w:tcPr>
          <w:p w14:paraId="157F34D4" w14:textId="77777777" w:rsidR="00E53F73" w:rsidRDefault="00A16159">
            <w:pPr>
              <w:pStyle w:val="TableParagraph"/>
              <w:spacing w:before="119" w:line="247" w:lineRule="auto"/>
              <w:ind w:right="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Annual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Percentage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Rate </w:t>
            </w:r>
            <w:r>
              <w:rPr>
                <w:b/>
                <w:sz w:val="20"/>
              </w:rPr>
              <w:t>(APR) For Purchases</w:t>
            </w:r>
          </w:p>
        </w:tc>
        <w:tc>
          <w:tcPr>
            <w:tcW w:w="8550" w:type="dxa"/>
          </w:tcPr>
          <w:p w14:paraId="4C1A5FF0" w14:textId="53F7463E" w:rsidR="00E53F73" w:rsidRDefault="00A16159">
            <w:pPr>
              <w:pStyle w:val="TableParagraph"/>
              <w:tabs>
                <w:tab w:val="left" w:pos="2880"/>
                <w:tab w:val="left" w:pos="4510"/>
                <w:tab w:val="left" w:pos="6439"/>
              </w:tabs>
              <w:spacing w:before="98"/>
              <w:ind w:left="251" w:right="239"/>
              <w:rPr>
                <w:sz w:val="20"/>
              </w:rPr>
            </w:pPr>
            <w:r>
              <w:rPr>
                <w:position w:val="2"/>
                <w:sz w:val="20"/>
              </w:rPr>
              <w:t>VISA Platinum</w:t>
            </w:r>
            <w:r w:rsidRPr="00A84ACF">
              <w:rPr>
                <w:position w:val="2"/>
                <w:sz w:val="24"/>
                <w:szCs w:val="24"/>
              </w:rPr>
              <w:t>:</w:t>
            </w:r>
            <w:r w:rsidRPr="00A84ACF">
              <w:rPr>
                <w:position w:val="2"/>
                <w:sz w:val="36"/>
                <w:szCs w:val="36"/>
              </w:rPr>
              <w:t xml:space="preserve"> </w:t>
            </w:r>
            <w:r w:rsidRPr="00A84ACF">
              <w:rPr>
                <w:b/>
                <w:bCs/>
                <w:spacing w:val="80"/>
                <w:w w:val="150"/>
                <w:sz w:val="36"/>
                <w:szCs w:val="36"/>
                <w:u w:val="thick"/>
              </w:rPr>
              <w:t xml:space="preserve"> </w:t>
            </w:r>
            <w:proofErr w:type="gramStart"/>
            <w:r w:rsidRPr="00A84ACF">
              <w:rPr>
                <w:b/>
                <w:bCs/>
                <w:sz w:val="36"/>
                <w:szCs w:val="36"/>
                <w:u w:val="thick"/>
              </w:rPr>
              <w:t>1</w:t>
            </w:r>
            <w:r w:rsidR="00220628">
              <w:rPr>
                <w:b/>
                <w:bCs/>
                <w:sz w:val="36"/>
                <w:szCs w:val="36"/>
                <w:u w:val="thick"/>
              </w:rPr>
              <w:t>3</w:t>
            </w:r>
            <w:r w:rsidRPr="00A84ACF">
              <w:rPr>
                <w:b/>
                <w:bCs/>
                <w:sz w:val="36"/>
                <w:szCs w:val="36"/>
                <w:u w:val="thick"/>
              </w:rPr>
              <w:t>.</w:t>
            </w:r>
            <w:r w:rsidR="00F1234D">
              <w:rPr>
                <w:b/>
                <w:bCs/>
                <w:sz w:val="36"/>
                <w:szCs w:val="36"/>
                <w:u w:val="thick"/>
              </w:rPr>
              <w:t>50</w:t>
            </w:r>
            <w:r w:rsidR="00736520" w:rsidRPr="00A84ACF">
              <w:rPr>
                <w:b/>
                <w:bCs/>
                <w:sz w:val="36"/>
                <w:szCs w:val="36"/>
                <w:u w:val="thick"/>
              </w:rPr>
              <w:t xml:space="preserve">  </w:t>
            </w:r>
            <w:r w:rsidRPr="00A84ACF">
              <w:rPr>
                <w:b/>
                <w:bCs/>
                <w:position w:val="2"/>
                <w:sz w:val="36"/>
                <w:szCs w:val="36"/>
              </w:rPr>
              <w:t>%</w:t>
            </w:r>
            <w:proofErr w:type="gramEnd"/>
            <w:r w:rsidRPr="00A84ACF">
              <w:rPr>
                <w:b/>
                <w:bCs/>
                <w:position w:val="2"/>
                <w:sz w:val="36"/>
                <w:szCs w:val="36"/>
              </w:rPr>
              <w:t xml:space="preserve">, </w:t>
            </w:r>
            <w:r w:rsidRPr="00A84ACF">
              <w:rPr>
                <w:b/>
                <w:bCs/>
                <w:spacing w:val="80"/>
                <w:position w:val="2"/>
                <w:sz w:val="36"/>
                <w:szCs w:val="36"/>
                <w:u w:val="thick"/>
              </w:rPr>
              <w:t xml:space="preserve"> </w:t>
            </w:r>
            <w:r w:rsidRPr="00A84ACF">
              <w:rPr>
                <w:b/>
                <w:bCs/>
                <w:position w:val="2"/>
                <w:sz w:val="36"/>
                <w:szCs w:val="36"/>
                <w:u w:val="thick"/>
              </w:rPr>
              <w:t>1</w:t>
            </w:r>
            <w:r w:rsidR="00220628">
              <w:rPr>
                <w:b/>
                <w:bCs/>
                <w:position w:val="2"/>
                <w:sz w:val="36"/>
                <w:szCs w:val="36"/>
                <w:u w:val="thick"/>
              </w:rPr>
              <w:t>7</w:t>
            </w:r>
            <w:r w:rsidRPr="00A84ACF">
              <w:rPr>
                <w:b/>
                <w:bCs/>
                <w:position w:val="2"/>
                <w:sz w:val="36"/>
                <w:szCs w:val="36"/>
                <w:u w:val="thick"/>
              </w:rPr>
              <w:t>.</w:t>
            </w:r>
            <w:r w:rsidR="00F1234D">
              <w:rPr>
                <w:b/>
                <w:bCs/>
                <w:position w:val="2"/>
                <w:sz w:val="36"/>
                <w:szCs w:val="36"/>
                <w:u w:val="thick"/>
              </w:rPr>
              <w:t>50</w:t>
            </w:r>
            <w:r w:rsidR="00736520" w:rsidRPr="00A84ACF">
              <w:rPr>
                <w:b/>
                <w:bCs/>
                <w:position w:val="2"/>
                <w:sz w:val="36"/>
                <w:szCs w:val="36"/>
                <w:u w:val="thick"/>
              </w:rPr>
              <w:t xml:space="preserve">  </w:t>
            </w:r>
            <w:r w:rsidRPr="00A84ACF">
              <w:rPr>
                <w:b/>
                <w:bCs/>
                <w:position w:val="2"/>
                <w:sz w:val="36"/>
                <w:szCs w:val="36"/>
              </w:rPr>
              <w:t>%,</w:t>
            </w:r>
            <w:r w:rsidRPr="00A84ACF">
              <w:rPr>
                <w:b/>
                <w:bCs/>
                <w:spacing w:val="40"/>
                <w:position w:val="2"/>
                <w:sz w:val="36"/>
                <w:szCs w:val="36"/>
              </w:rPr>
              <w:t xml:space="preserve"> </w:t>
            </w:r>
            <w:r w:rsidRPr="00A84ACF">
              <w:rPr>
                <w:b/>
                <w:bCs/>
                <w:position w:val="2"/>
                <w:sz w:val="36"/>
                <w:szCs w:val="36"/>
              </w:rPr>
              <w:t>or</w:t>
            </w:r>
            <w:r w:rsidRPr="00A84ACF">
              <w:rPr>
                <w:b/>
                <w:bCs/>
                <w:spacing w:val="40"/>
                <w:position w:val="2"/>
                <w:sz w:val="36"/>
                <w:szCs w:val="36"/>
              </w:rPr>
              <w:t xml:space="preserve"> </w:t>
            </w:r>
            <w:r w:rsidR="00A84ACF" w:rsidRPr="00A84ACF">
              <w:rPr>
                <w:b/>
                <w:bCs/>
                <w:spacing w:val="80"/>
                <w:position w:val="2"/>
                <w:sz w:val="36"/>
                <w:szCs w:val="36"/>
                <w:u w:val="thick"/>
              </w:rPr>
              <w:t xml:space="preserve"> </w:t>
            </w:r>
            <w:r w:rsidRPr="00A84ACF">
              <w:rPr>
                <w:b/>
                <w:bCs/>
                <w:position w:val="1"/>
                <w:sz w:val="36"/>
                <w:szCs w:val="36"/>
                <w:u w:val="thick"/>
              </w:rPr>
              <w:t>2</w:t>
            </w:r>
            <w:r w:rsidR="00220628">
              <w:rPr>
                <w:b/>
                <w:bCs/>
                <w:position w:val="1"/>
                <w:sz w:val="36"/>
                <w:szCs w:val="36"/>
                <w:u w:val="thick"/>
              </w:rPr>
              <w:t>1</w:t>
            </w:r>
            <w:r w:rsidRPr="00A84ACF">
              <w:rPr>
                <w:b/>
                <w:bCs/>
                <w:position w:val="1"/>
                <w:sz w:val="36"/>
                <w:szCs w:val="36"/>
                <w:u w:val="thick"/>
              </w:rPr>
              <w:t>.</w:t>
            </w:r>
            <w:r w:rsidR="00F1234D">
              <w:rPr>
                <w:b/>
                <w:bCs/>
                <w:position w:val="1"/>
                <w:sz w:val="36"/>
                <w:szCs w:val="36"/>
                <w:u w:val="thick"/>
              </w:rPr>
              <w:t>50</w:t>
            </w:r>
            <w:r w:rsidR="00736520" w:rsidRPr="00A84ACF">
              <w:rPr>
                <w:b/>
                <w:bCs/>
                <w:position w:val="1"/>
                <w:sz w:val="36"/>
                <w:szCs w:val="36"/>
                <w:u w:val="thick"/>
              </w:rPr>
              <w:t xml:space="preserve">  </w:t>
            </w:r>
            <w:r w:rsidRPr="00A84ACF">
              <w:rPr>
                <w:b/>
                <w:bCs/>
                <w:position w:val="2"/>
                <w:sz w:val="36"/>
                <w:szCs w:val="36"/>
              </w:rPr>
              <w:t>%</w:t>
            </w:r>
            <w:r w:rsidRPr="00A84ACF">
              <w:rPr>
                <w:b/>
                <w:bCs/>
                <w:position w:val="2"/>
                <w:sz w:val="20"/>
              </w:rPr>
              <w:t>,</w:t>
            </w:r>
            <w:r w:rsidRPr="00A84ACF">
              <w:rPr>
                <w:b/>
                <w:bCs/>
                <w:spacing w:val="-1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based</w:t>
            </w:r>
            <w:r>
              <w:rPr>
                <w:spacing w:val="-1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on</w:t>
            </w:r>
            <w:r>
              <w:rPr>
                <w:spacing w:val="-1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Your</w:t>
            </w:r>
            <w:r w:rsidR="00736520">
              <w:rPr>
                <w:position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creditworthiness.</w:t>
            </w:r>
          </w:p>
          <w:p w14:paraId="2ADF597F" w14:textId="77777777" w:rsidR="00E53F73" w:rsidRPr="00A84ACF" w:rsidRDefault="00A16159">
            <w:pPr>
              <w:pStyle w:val="TableParagraph"/>
              <w:spacing w:line="228" w:lineRule="exact"/>
              <w:ind w:left="0" w:right="2501"/>
              <w:jc w:val="right"/>
              <w:rPr>
                <w:i/>
                <w:iCs/>
                <w:sz w:val="20"/>
              </w:rPr>
            </w:pP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  <w:p w14:paraId="557938C6" w14:textId="77777777" w:rsidR="00E53F73" w:rsidRDefault="00E53F73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1CBC829" w14:textId="38C93427" w:rsidR="00E53F73" w:rsidRDefault="00A16159" w:rsidP="00736520">
            <w:pPr>
              <w:pStyle w:val="TableParagraph"/>
              <w:tabs>
                <w:tab w:val="left" w:pos="3677"/>
                <w:tab w:val="left" w:pos="5307"/>
                <w:tab w:val="left" w:pos="7236"/>
              </w:tabs>
              <w:spacing w:before="1"/>
              <w:ind w:left="251" w:right="787"/>
              <w:rPr>
                <w:sz w:val="20"/>
              </w:rPr>
            </w:pPr>
            <w:r>
              <w:rPr>
                <w:sz w:val="20"/>
              </w:rPr>
              <w:t>VISA Platinum Secured</w:t>
            </w:r>
            <w:r w:rsidR="00736520">
              <w:rPr>
                <w:sz w:val="20"/>
              </w:rPr>
              <w:t xml:space="preserve">: </w:t>
            </w:r>
            <w:r>
              <w:rPr>
                <w:spacing w:val="40"/>
                <w:sz w:val="20"/>
              </w:rPr>
              <w:t xml:space="preserve"> </w:t>
            </w:r>
            <w:r w:rsidR="00A84ACF" w:rsidRPr="00736520">
              <w:rPr>
                <w:b/>
                <w:position w:val="1"/>
                <w:sz w:val="24"/>
                <w:u w:val="single"/>
              </w:rPr>
              <w:t>2</w:t>
            </w:r>
            <w:r w:rsidR="00220628">
              <w:rPr>
                <w:b/>
                <w:position w:val="1"/>
                <w:sz w:val="24"/>
                <w:u w:val="single"/>
              </w:rPr>
              <w:t>1</w:t>
            </w:r>
            <w:r w:rsidR="00A84ACF" w:rsidRPr="00736520">
              <w:rPr>
                <w:b/>
                <w:position w:val="1"/>
                <w:sz w:val="24"/>
                <w:u w:val="single"/>
              </w:rPr>
              <w:t>.</w:t>
            </w:r>
            <w:r w:rsidR="00F1234D">
              <w:rPr>
                <w:b/>
                <w:position w:val="1"/>
                <w:sz w:val="24"/>
                <w:u w:val="single"/>
              </w:rPr>
              <w:t>50</w:t>
            </w:r>
            <w:r w:rsidR="00A84ACF" w:rsidRPr="00736520">
              <w:rPr>
                <w:b/>
                <w:spacing w:val="15"/>
                <w:position w:val="1"/>
                <w:sz w:val="24"/>
                <w:u w:val="single"/>
              </w:rPr>
              <w:t xml:space="preserve"> </w:t>
            </w:r>
            <w:r w:rsidR="00A84ACF" w:rsidRPr="00736520">
              <w:rPr>
                <w:b/>
                <w:sz w:val="20"/>
              </w:rPr>
              <w:t>%.</w:t>
            </w:r>
            <w:r w:rsidR="00A84ACF">
              <w:rPr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</w:tc>
      </w:tr>
      <w:tr w:rsidR="00E53F73" w14:paraId="77EA2271" w14:textId="77777777" w:rsidTr="00A84ACF">
        <w:trPr>
          <w:trHeight w:val="529"/>
        </w:trPr>
        <w:tc>
          <w:tcPr>
            <w:tcW w:w="2497" w:type="dxa"/>
          </w:tcPr>
          <w:p w14:paraId="503E531A" w14:textId="77777777" w:rsidR="00E53F73" w:rsidRDefault="00A16159">
            <w:pPr>
              <w:pStyle w:val="TableParagraph"/>
              <w:spacing w:before="124" w:line="247" w:lineRule="auto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Annual Percentage Rate </w:t>
            </w:r>
            <w:r>
              <w:rPr>
                <w:b/>
                <w:w w:val="95"/>
                <w:sz w:val="20"/>
              </w:rPr>
              <w:t>APR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Balance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Transfers</w:t>
            </w:r>
          </w:p>
        </w:tc>
        <w:tc>
          <w:tcPr>
            <w:tcW w:w="8550" w:type="dxa"/>
          </w:tcPr>
          <w:p w14:paraId="0206D99F" w14:textId="161F2E7E" w:rsidR="00E53F73" w:rsidRDefault="00A16159">
            <w:pPr>
              <w:pStyle w:val="TableParagraph"/>
              <w:spacing w:before="72" w:line="284" w:lineRule="exact"/>
              <w:ind w:left="251"/>
              <w:rPr>
                <w:sz w:val="20"/>
              </w:rPr>
            </w:pPr>
            <w:r>
              <w:rPr>
                <w:position w:val="1"/>
                <w:sz w:val="20"/>
              </w:rPr>
              <w:t>VISA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Platinum:</w:t>
            </w:r>
            <w:r w:rsidR="00A84ACF">
              <w:rPr>
                <w:position w:val="1"/>
                <w:sz w:val="20"/>
              </w:rPr>
              <w:t xml:space="preserve">  </w:t>
            </w:r>
            <w:proofErr w:type="gramStart"/>
            <w:r w:rsidRPr="00736520">
              <w:rPr>
                <w:b/>
                <w:bCs/>
                <w:position w:val="-2"/>
                <w:sz w:val="24"/>
                <w:u w:val="single"/>
              </w:rPr>
              <w:t>1</w:t>
            </w:r>
            <w:r w:rsidR="00220628">
              <w:rPr>
                <w:b/>
                <w:bCs/>
                <w:position w:val="-2"/>
                <w:sz w:val="24"/>
                <w:u w:val="single"/>
              </w:rPr>
              <w:t>5</w:t>
            </w:r>
            <w:r w:rsidRPr="00736520">
              <w:rPr>
                <w:b/>
                <w:bCs/>
                <w:position w:val="-2"/>
                <w:sz w:val="24"/>
                <w:u w:val="single"/>
              </w:rPr>
              <w:t>.</w:t>
            </w:r>
            <w:r w:rsidR="00F1234D">
              <w:rPr>
                <w:b/>
                <w:bCs/>
                <w:position w:val="-2"/>
                <w:sz w:val="24"/>
                <w:u w:val="single"/>
              </w:rPr>
              <w:t>50</w:t>
            </w:r>
            <w:r w:rsidR="00736520" w:rsidRPr="00736520">
              <w:rPr>
                <w:b/>
                <w:bCs/>
                <w:position w:val="-2"/>
                <w:sz w:val="24"/>
                <w:u w:val="single"/>
              </w:rPr>
              <w:t xml:space="preserve"> </w:t>
            </w:r>
            <w:r w:rsidRPr="00736520">
              <w:rPr>
                <w:b/>
                <w:bCs/>
                <w:spacing w:val="-10"/>
                <w:position w:val="-2"/>
                <w:sz w:val="24"/>
                <w:u w:val="single"/>
              </w:rPr>
              <w:t xml:space="preserve"> </w:t>
            </w:r>
            <w:r w:rsidRPr="00736520">
              <w:rPr>
                <w:b/>
                <w:bCs/>
                <w:position w:val="1"/>
                <w:sz w:val="20"/>
              </w:rPr>
              <w:t>%</w:t>
            </w:r>
            <w:proofErr w:type="gramEnd"/>
            <w:r w:rsidRPr="00736520">
              <w:rPr>
                <w:b/>
                <w:bCs/>
                <w:position w:val="1"/>
                <w:sz w:val="20"/>
              </w:rPr>
              <w:t>,</w:t>
            </w:r>
            <w:r w:rsidRPr="00736520">
              <w:rPr>
                <w:b/>
                <w:bCs/>
                <w:spacing w:val="-12"/>
                <w:position w:val="1"/>
                <w:sz w:val="20"/>
              </w:rPr>
              <w:t xml:space="preserve"> </w:t>
            </w:r>
            <w:r w:rsidRPr="00736520">
              <w:rPr>
                <w:b/>
                <w:bCs/>
                <w:spacing w:val="27"/>
                <w:sz w:val="24"/>
                <w:u w:val="single"/>
              </w:rPr>
              <w:t xml:space="preserve"> </w:t>
            </w:r>
            <w:r w:rsidR="00220628">
              <w:rPr>
                <w:b/>
                <w:bCs/>
                <w:sz w:val="24"/>
                <w:u w:val="single"/>
              </w:rPr>
              <w:t>19</w:t>
            </w:r>
            <w:r w:rsidRPr="00736520">
              <w:rPr>
                <w:b/>
                <w:bCs/>
                <w:sz w:val="24"/>
                <w:u w:val="single"/>
              </w:rPr>
              <w:t>.</w:t>
            </w:r>
            <w:r w:rsidR="00F1234D">
              <w:rPr>
                <w:b/>
                <w:bCs/>
                <w:sz w:val="24"/>
                <w:u w:val="single"/>
              </w:rPr>
              <w:t>50</w:t>
            </w:r>
            <w:r w:rsidR="00736520" w:rsidRPr="00736520">
              <w:rPr>
                <w:b/>
                <w:bCs/>
                <w:sz w:val="24"/>
                <w:u w:val="single"/>
              </w:rPr>
              <w:t xml:space="preserve"> </w:t>
            </w:r>
            <w:r w:rsidRPr="00736520">
              <w:rPr>
                <w:b/>
                <w:bCs/>
                <w:spacing w:val="-17"/>
                <w:sz w:val="24"/>
              </w:rPr>
              <w:t xml:space="preserve"> </w:t>
            </w:r>
            <w:r w:rsidRPr="00736520">
              <w:rPr>
                <w:b/>
                <w:bCs/>
                <w:position w:val="1"/>
                <w:sz w:val="20"/>
              </w:rPr>
              <w:t>%,</w:t>
            </w:r>
            <w:r w:rsidRPr="00736520">
              <w:rPr>
                <w:b/>
                <w:bCs/>
                <w:spacing w:val="-12"/>
                <w:position w:val="1"/>
                <w:sz w:val="20"/>
              </w:rPr>
              <w:t xml:space="preserve"> </w:t>
            </w:r>
            <w:r w:rsidRPr="00736520">
              <w:rPr>
                <w:b/>
                <w:bCs/>
                <w:position w:val="1"/>
                <w:sz w:val="20"/>
              </w:rPr>
              <w:t>or</w:t>
            </w:r>
            <w:r w:rsidRPr="00736520">
              <w:rPr>
                <w:b/>
                <w:bCs/>
                <w:spacing w:val="-11"/>
                <w:position w:val="1"/>
                <w:sz w:val="20"/>
              </w:rPr>
              <w:t xml:space="preserve"> </w:t>
            </w:r>
            <w:r w:rsidRPr="00736520">
              <w:rPr>
                <w:b/>
                <w:bCs/>
                <w:position w:val="1"/>
                <w:sz w:val="20"/>
              </w:rPr>
              <w:t>_</w:t>
            </w:r>
            <w:r w:rsidRPr="00736520">
              <w:rPr>
                <w:b/>
                <w:bCs/>
                <w:sz w:val="24"/>
              </w:rPr>
              <w:t>2</w:t>
            </w:r>
            <w:r w:rsidR="00220628">
              <w:rPr>
                <w:b/>
                <w:bCs/>
                <w:sz w:val="24"/>
                <w:u w:val="single"/>
              </w:rPr>
              <w:t>3</w:t>
            </w:r>
            <w:r w:rsidRPr="00736520">
              <w:rPr>
                <w:b/>
                <w:bCs/>
                <w:sz w:val="24"/>
                <w:u w:val="single"/>
              </w:rPr>
              <w:t>.</w:t>
            </w:r>
            <w:r w:rsidR="00F1234D">
              <w:rPr>
                <w:b/>
                <w:bCs/>
                <w:sz w:val="24"/>
                <w:u w:val="single"/>
              </w:rPr>
              <w:t>50</w:t>
            </w:r>
            <w:r w:rsidRPr="00736520">
              <w:rPr>
                <w:b/>
                <w:bCs/>
                <w:spacing w:val="55"/>
                <w:sz w:val="24"/>
                <w:u w:val="single"/>
              </w:rPr>
              <w:t xml:space="preserve"> </w:t>
            </w:r>
            <w:r w:rsidRPr="00736520">
              <w:rPr>
                <w:b/>
                <w:bCs/>
                <w:position w:val="1"/>
                <w:sz w:val="20"/>
              </w:rPr>
              <w:t>%,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based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on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Your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creditworthiness.</w:t>
            </w:r>
          </w:p>
          <w:p w14:paraId="5BD7580A" w14:textId="77777777" w:rsidR="00E53F73" w:rsidRPr="00A84ACF" w:rsidRDefault="00A16159">
            <w:pPr>
              <w:pStyle w:val="TableParagraph"/>
              <w:spacing w:line="208" w:lineRule="exact"/>
              <w:ind w:left="539"/>
              <w:rPr>
                <w:i/>
                <w:iCs/>
                <w:sz w:val="20"/>
              </w:rPr>
            </w:pP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  <w:p w14:paraId="6920735A" w14:textId="77777777" w:rsidR="00736520" w:rsidRDefault="00736520" w:rsidP="00736520">
            <w:pPr>
              <w:pStyle w:val="TableParagraph"/>
              <w:tabs>
                <w:tab w:val="left" w:pos="3770"/>
                <w:tab w:val="left" w:pos="4828"/>
                <w:tab w:val="left" w:pos="6119"/>
              </w:tabs>
              <w:spacing w:line="218" w:lineRule="auto"/>
              <w:ind w:left="0" w:right="661"/>
              <w:rPr>
                <w:sz w:val="20"/>
              </w:rPr>
            </w:pPr>
          </w:p>
          <w:p w14:paraId="4A213B3B" w14:textId="5C7D5825" w:rsidR="00E53F73" w:rsidRDefault="00736520" w:rsidP="00736520">
            <w:pPr>
              <w:pStyle w:val="TableParagraph"/>
              <w:tabs>
                <w:tab w:val="left" w:pos="3770"/>
                <w:tab w:val="left" w:pos="4828"/>
                <w:tab w:val="left" w:pos="6119"/>
              </w:tabs>
              <w:spacing w:line="218" w:lineRule="auto"/>
              <w:ind w:left="270" w:right="661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Platinum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Secured: </w:t>
            </w:r>
            <w:r>
              <w:rPr>
                <w:spacing w:val="-6"/>
                <w:sz w:val="20"/>
              </w:rPr>
              <w:t xml:space="preserve"> </w:t>
            </w:r>
            <w:r w:rsidRPr="00736520">
              <w:rPr>
                <w:b/>
                <w:bCs/>
                <w:position w:val="1"/>
                <w:sz w:val="24"/>
                <w:u w:val="single"/>
              </w:rPr>
              <w:t>2</w:t>
            </w:r>
            <w:r w:rsidR="00220628">
              <w:rPr>
                <w:b/>
                <w:bCs/>
                <w:position w:val="1"/>
                <w:sz w:val="24"/>
                <w:u w:val="single"/>
              </w:rPr>
              <w:t>3</w:t>
            </w:r>
            <w:r w:rsidRPr="00736520">
              <w:rPr>
                <w:b/>
                <w:bCs/>
                <w:position w:val="1"/>
                <w:sz w:val="24"/>
                <w:u w:val="single"/>
              </w:rPr>
              <w:t>.</w:t>
            </w:r>
            <w:r w:rsidR="00F1234D">
              <w:rPr>
                <w:b/>
                <w:bCs/>
                <w:position w:val="1"/>
                <w:sz w:val="24"/>
                <w:u w:val="single"/>
              </w:rPr>
              <w:t>50</w:t>
            </w:r>
            <w:r w:rsidRPr="00736520">
              <w:rPr>
                <w:b/>
                <w:bCs/>
                <w:spacing w:val="15"/>
                <w:position w:val="1"/>
                <w:sz w:val="24"/>
                <w:u w:val="single"/>
              </w:rPr>
              <w:t xml:space="preserve"> </w:t>
            </w:r>
            <w:r w:rsidRPr="00736520">
              <w:rPr>
                <w:b/>
                <w:bCs/>
                <w:sz w:val="20"/>
              </w:rPr>
              <w:t>%.</w:t>
            </w:r>
            <w:r>
              <w:rPr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</w:tc>
      </w:tr>
      <w:tr w:rsidR="00E53F73" w14:paraId="3E460080" w14:textId="77777777" w:rsidTr="00A84ACF">
        <w:trPr>
          <w:trHeight w:val="799"/>
        </w:trPr>
        <w:tc>
          <w:tcPr>
            <w:tcW w:w="2497" w:type="dxa"/>
          </w:tcPr>
          <w:p w14:paraId="6C384B59" w14:textId="77777777" w:rsidR="00E53F73" w:rsidRDefault="00A16159">
            <w:pPr>
              <w:pStyle w:val="TableParagraph"/>
              <w:spacing w:before="124" w:line="247" w:lineRule="auto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Annual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Percentage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Rate </w:t>
            </w:r>
            <w:r>
              <w:rPr>
                <w:b/>
                <w:w w:val="95"/>
                <w:sz w:val="20"/>
              </w:rPr>
              <w:t>APR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Cash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Advances</w:t>
            </w:r>
          </w:p>
        </w:tc>
        <w:tc>
          <w:tcPr>
            <w:tcW w:w="8550" w:type="dxa"/>
          </w:tcPr>
          <w:p w14:paraId="46AF90BD" w14:textId="5FBC5C4B" w:rsidR="00E53F73" w:rsidRDefault="00A16159">
            <w:pPr>
              <w:pStyle w:val="TableParagraph"/>
              <w:spacing w:before="47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VISA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Platinum:</w:t>
            </w:r>
            <w:r w:rsidR="00A84ACF">
              <w:rPr>
                <w:spacing w:val="-2"/>
                <w:sz w:val="20"/>
              </w:rPr>
              <w:t xml:space="preserve">  </w:t>
            </w:r>
            <w:proofErr w:type="gramStart"/>
            <w:r w:rsidR="00A84ACF" w:rsidRPr="00736520">
              <w:rPr>
                <w:b/>
                <w:bCs/>
                <w:position w:val="-2"/>
                <w:sz w:val="24"/>
                <w:u w:val="single"/>
              </w:rPr>
              <w:t>1</w:t>
            </w:r>
            <w:r w:rsidR="00220628">
              <w:rPr>
                <w:b/>
                <w:bCs/>
                <w:position w:val="-2"/>
                <w:sz w:val="24"/>
                <w:u w:val="single"/>
              </w:rPr>
              <w:t>5</w:t>
            </w:r>
            <w:r w:rsidR="00A84ACF" w:rsidRPr="00736520">
              <w:rPr>
                <w:b/>
                <w:bCs/>
                <w:position w:val="-2"/>
                <w:sz w:val="24"/>
                <w:u w:val="single"/>
              </w:rPr>
              <w:t>.</w:t>
            </w:r>
            <w:r w:rsidR="00F1234D">
              <w:rPr>
                <w:b/>
                <w:bCs/>
                <w:position w:val="-2"/>
                <w:sz w:val="24"/>
                <w:u w:val="single"/>
              </w:rPr>
              <w:t>50</w:t>
            </w:r>
            <w:r w:rsidR="00A84ACF" w:rsidRPr="00736520">
              <w:rPr>
                <w:b/>
                <w:bCs/>
                <w:position w:val="-2"/>
                <w:sz w:val="24"/>
                <w:u w:val="single"/>
              </w:rPr>
              <w:t xml:space="preserve"> </w:t>
            </w:r>
            <w:r w:rsidR="00A84ACF" w:rsidRPr="00736520">
              <w:rPr>
                <w:b/>
                <w:bCs/>
                <w:spacing w:val="-10"/>
                <w:position w:val="-2"/>
                <w:sz w:val="24"/>
                <w:u w:val="single"/>
              </w:rPr>
              <w:t xml:space="preserve"> </w:t>
            </w:r>
            <w:r w:rsidR="00A84ACF" w:rsidRPr="00736520">
              <w:rPr>
                <w:b/>
                <w:bCs/>
                <w:position w:val="1"/>
                <w:sz w:val="20"/>
              </w:rPr>
              <w:t>%</w:t>
            </w:r>
            <w:proofErr w:type="gramEnd"/>
            <w:r w:rsidR="00A84ACF" w:rsidRPr="00736520">
              <w:rPr>
                <w:b/>
                <w:bCs/>
                <w:position w:val="1"/>
                <w:sz w:val="20"/>
              </w:rPr>
              <w:t>,</w:t>
            </w:r>
            <w:r w:rsidR="00A84ACF" w:rsidRPr="00736520">
              <w:rPr>
                <w:b/>
                <w:bCs/>
                <w:spacing w:val="-12"/>
                <w:position w:val="1"/>
                <w:sz w:val="20"/>
              </w:rPr>
              <w:t xml:space="preserve"> </w:t>
            </w:r>
            <w:r w:rsidR="00A84ACF" w:rsidRPr="00736520">
              <w:rPr>
                <w:b/>
                <w:bCs/>
                <w:spacing w:val="27"/>
                <w:sz w:val="24"/>
                <w:u w:val="single"/>
              </w:rPr>
              <w:t xml:space="preserve"> </w:t>
            </w:r>
            <w:r w:rsidR="00220628">
              <w:rPr>
                <w:b/>
                <w:bCs/>
                <w:sz w:val="24"/>
                <w:u w:val="single"/>
              </w:rPr>
              <w:t>19</w:t>
            </w:r>
            <w:r w:rsidR="00A84ACF" w:rsidRPr="00736520">
              <w:rPr>
                <w:b/>
                <w:bCs/>
                <w:sz w:val="24"/>
                <w:u w:val="single"/>
              </w:rPr>
              <w:t>.</w:t>
            </w:r>
            <w:r w:rsidR="00F1234D">
              <w:rPr>
                <w:b/>
                <w:bCs/>
                <w:sz w:val="24"/>
                <w:u w:val="single"/>
              </w:rPr>
              <w:t>50</w:t>
            </w:r>
            <w:r w:rsidR="00A84ACF" w:rsidRPr="00736520">
              <w:rPr>
                <w:b/>
                <w:bCs/>
                <w:sz w:val="24"/>
                <w:u w:val="single"/>
              </w:rPr>
              <w:t xml:space="preserve">  </w:t>
            </w:r>
            <w:r w:rsidR="00A84ACF" w:rsidRPr="00736520">
              <w:rPr>
                <w:b/>
                <w:bCs/>
                <w:spacing w:val="-17"/>
                <w:sz w:val="24"/>
              </w:rPr>
              <w:t xml:space="preserve"> </w:t>
            </w:r>
            <w:r w:rsidR="00A84ACF" w:rsidRPr="00736520">
              <w:rPr>
                <w:b/>
                <w:bCs/>
                <w:position w:val="1"/>
                <w:sz w:val="20"/>
              </w:rPr>
              <w:t>%,</w:t>
            </w:r>
            <w:r w:rsidR="00A84ACF" w:rsidRPr="00736520">
              <w:rPr>
                <w:b/>
                <w:bCs/>
                <w:spacing w:val="-12"/>
                <w:position w:val="1"/>
                <w:sz w:val="20"/>
              </w:rPr>
              <w:t xml:space="preserve"> </w:t>
            </w:r>
            <w:r w:rsidR="00A84ACF" w:rsidRPr="00736520">
              <w:rPr>
                <w:b/>
                <w:bCs/>
                <w:position w:val="1"/>
                <w:sz w:val="20"/>
              </w:rPr>
              <w:t>or</w:t>
            </w:r>
            <w:r w:rsidR="00A84ACF" w:rsidRPr="00736520">
              <w:rPr>
                <w:b/>
                <w:bCs/>
                <w:spacing w:val="-11"/>
                <w:position w:val="1"/>
                <w:sz w:val="20"/>
              </w:rPr>
              <w:t xml:space="preserve"> </w:t>
            </w:r>
            <w:r w:rsidR="00A84ACF" w:rsidRPr="00736520">
              <w:rPr>
                <w:b/>
                <w:bCs/>
                <w:position w:val="1"/>
                <w:sz w:val="20"/>
              </w:rPr>
              <w:t>_</w:t>
            </w:r>
            <w:r w:rsidR="00A84ACF" w:rsidRPr="00736520">
              <w:rPr>
                <w:b/>
                <w:bCs/>
                <w:sz w:val="24"/>
              </w:rPr>
              <w:t>2</w:t>
            </w:r>
            <w:r w:rsidR="00220628">
              <w:rPr>
                <w:b/>
                <w:bCs/>
                <w:sz w:val="24"/>
                <w:u w:val="single"/>
              </w:rPr>
              <w:t>3</w:t>
            </w:r>
            <w:r w:rsidR="00A84ACF" w:rsidRPr="00736520">
              <w:rPr>
                <w:b/>
                <w:bCs/>
                <w:sz w:val="24"/>
                <w:u w:val="single"/>
              </w:rPr>
              <w:t>.</w:t>
            </w:r>
            <w:r w:rsidR="00F1234D">
              <w:rPr>
                <w:b/>
                <w:bCs/>
                <w:sz w:val="24"/>
                <w:u w:val="single"/>
              </w:rPr>
              <w:t>50</w:t>
            </w:r>
            <w:r w:rsidR="00A84ACF" w:rsidRPr="00736520">
              <w:rPr>
                <w:b/>
                <w:bCs/>
                <w:spacing w:val="55"/>
                <w:sz w:val="24"/>
                <w:u w:val="single"/>
              </w:rPr>
              <w:t xml:space="preserve"> </w:t>
            </w:r>
            <w:r w:rsidR="00A84ACF" w:rsidRPr="00736520">
              <w:rPr>
                <w:b/>
                <w:bCs/>
                <w:position w:val="1"/>
                <w:sz w:val="20"/>
              </w:rPr>
              <w:t>%,</w:t>
            </w:r>
            <w:r w:rsidR="00A84ACF">
              <w:rPr>
                <w:spacing w:val="-12"/>
                <w:position w:val="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based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creditworthiness.</w:t>
            </w:r>
          </w:p>
          <w:p w14:paraId="585082CB" w14:textId="77777777" w:rsidR="00E53F73" w:rsidRPr="00A84ACF" w:rsidRDefault="00A16159">
            <w:pPr>
              <w:pStyle w:val="TableParagraph"/>
              <w:ind w:left="539"/>
              <w:rPr>
                <w:i/>
                <w:iCs/>
                <w:sz w:val="20"/>
              </w:rPr>
            </w:pP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  <w:p w14:paraId="23B6814F" w14:textId="77777777" w:rsidR="00E53F73" w:rsidRDefault="00E53F73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44AD0FDA" w14:textId="67D67476" w:rsidR="00E53F73" w:rsidRDefault="00A16159" w:rsidP="00736520">
            <w:pPr>
              <w:pStyle w:val="TableParagraph"/>
              <w:spacing w:line="230" w:lineRule="auto"/>
              <w:ind w:left="251" w:right="239" w:hanging="1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Platinum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Secured</w:t>
            </w:r>
            <w:r w:rsidR="00736520">
              <w:rPr>
                <w:sz w:val="20"/>
              </w:rPr>
              <w:t xml:space="preserve">: </w:t>
            </w:r>
            <w:r>
              <w:rPr>
                <w:spacing w:val="-6"/>
                <w:sz w:val="20"/>
              </w:rPr>
              <w:t xml:space="preserve"> </w:t>
            </w:r>
            <w:r w:rsidRPr="00736520">
              <w:rPr>
                <w:b/>
                <w:position w:val="1"/>
                <w:sz w:val="24"/>
                <w:u w:val="single"/>
              </w:rPr>
              <w:t>2</w:t>
            </w:r>
            <w:r w:rsidR="00220628">
              <w:rPr>
                <w:b/>
                <w:position w:val="1"/>
                <w:sz w:val="24"/>
                <w:u w:val="single"/>
              </w:rPr>
              <w:t>3</w:t>
            </w:r>
            <w:r w:rsidRPr="00736520">
              <w:rPr>
                <w:b/>
                <w:position w:val="1"/>
                <w:sz w:val="24"/>
                <w:u w:val="single"/>
              </w:rPr>
              <w:t>.</w:t>
            </w:r>
            <w:r w:rsidR="00F1234D">
              <w:rPr>
                <w:b/>
                <w:position w:val="1"/>
                <w:sz w:val="24"/>
                <w:u w:val="single"/>
              </w:rPr>
              <w:t>50</w:t>
            </w:r>
            <w:r w:rsidRPr="00736520">
              <w:rPr>
                <w:b/>
                <w:spacing w:val="15"/>
                <w:position w:val="1"/>
                <w:sz w:val="24"/>
                <w:u w:val="single"/>
              </w:rPr>
              <w:t xml:space="preserve"> </w:t>
            </w:r>
            <w:r w:rsidRPr="00736520">
              <w:rPr>
                <w:b/>
                <w:sz w:val="20"/>
              </w:rPr>
              <w:t>%</w:t>
            </w:r>
            <w:r w:rsidR="00736520" w:rsidRPr="00736520">
              <w:rPr>
                <w:b/>
                <w:sz w:val="20"/>
              </w:rPr>
              <w:t>.</w:t>
            </w:r>
            <w:r w:rsidR="00736520">
              <w:rPr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This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APR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will</w:t>
            </w:r>
            <w:r w:rsidRPr="00A84ACF">
              <w:rPr>
                <w:i/>
                <w:iCs/>
                <w:spacing w:val="-7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vary</w:t>
            </w:r>
            <w:r w:rsidRPr="00A84ACF">
              <w:rPr>
                <w:i/>
                <w:iCs/>
                <w:spacing w:val="-12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with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market</w:t>
            </w:r>
            <w:r w:rsidRPr="00A84ACF">
              <w:rPr>
                <w:i/>
                <w:iCs/>
                <w:spacing w:val="-5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based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on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the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z w:val="20"/>
              </w:rPr>
              <w:t>Prime</w:t>
            </w:r>
            <w:r w:rsidRPr="00A84ACF">
              <w:rPr>
                <w:i/>
                <w:iCs/>
                <w:spacing w:val="-6"/>
                <w:sz w:val="20"/>
              </w:rPr>
              <w:t xml:space="preserve"> </w:t>
            </w:r>
            <w:r w:rsidRPr="00A84ACF">
              <w:rPr>
                <w:i/>
                <w:iCs/>
                <w:spacing w:val="-2"/>
                <w:sz w:val="20"/>
              </w:rPr>
              <w:t>Rate.</w:t>
            </w:r>
          </w:p>
        </w:tc>
      </w:tr>
    </w:tbl>
    <w:tbl>
      <w:tblPr>
        <w:tblpPr w:leftFromText="180" w:rightFromText="180" w:vertAnchor="text" w:horzAnchor="margin" w:tblpX="90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369"/>
      </w:tblGrid>
      <w:tr w:rsidR="00736520" w14:paraId="7F60B5C6" w14:textId="77777777" w:rsidTr="00736520">
        <w:trPr>
          <w:trHeight w:val="251"/>
        </w:trPr>
        <w:tc>
          <w:tcPr>
            <w:tcW w:w="1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6853B9" w14:textId="77777777" w:rsidR="00736520" w:rsidRDefault="00736520" w:rsidP="00736520">
            <w:pPr>
              <w:pStyle w:val="TableParagraph"/>
              <w:spacing w:before="13" w:line="21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Interest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Rate</w:t>
            </w:r>
            <w:r>
              <w:rPr>
                <w:b/>
                <w:color w:val="FFFFFF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and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Interest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Charges</w:t>
            </w:r>
            <w:r>
              <w:rPr>
                <w:b/>
                <w:color w:val="FFFFFF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w w:val="95"/>
                <w:sz w:val="20"/>
              </w:rPr>
              <w:t>(continued)</w:t>
            </w:r>
          </w:p>
        </w:tc>
      </w:tr>
      <w:tr w:rsidR="00736520" w14:paraId="10534227" w14:textId="77777777" w:rsidTr="00736520">
        <w:trPr>
          <w:trHeight w:val="858"/>
        </w:trPr>
        <w:tc>
          <w:tcPr>
            <w:tcW w:w="2700" w:type="dxa"/>
          </w:tcPr>
          <w:p w14:paraId="3C2A5767" w14:textId="77777777" w:rsidR="00736520" w:rsidRDefault="00736520" w:rsidP="00736520">
            <w:pPr>
              <w:pStyle w:val="TableParagraph"/>
              <w:spacing w:before="118" w:line="247" w:lineRule="auto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Avoid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Paying </w:t>
            </w:r>
            <w:r>
              <w:rPr>
                <w:b/>
                <w:spacing w:val="-6"/>
                <w:sz w:val="20"/>
              </w:rPr>
              <w:t>Interest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Purchases</w:t>
            </w:r>
          </w:p>
        </w:tc>
        <w:tc>
          <w:tcPr>
            <w:tcW w:w="8369" w:type="dxa"/>
          </w:tcPr>
          <w:p w14:paraId="3F67E89A" w14:textId="77777777" w:rsidR="00736520" w:rsidRDefault="00736520" w:rsidP="00736520">
            <w:pPr>
              <w:pStyle w:val="TableParagraph"/>
              <w:spacing w:before="107" w:line="23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interest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pay Your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owed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payment due date.</w:t>
            </w:r>
          </w:p>
        </w:tc>
      </w:tr>
      <w:tr w:rsidR="00736520" w14:paraId="0AAD01FC" w14:textId="77777777" w:rsidTr="00736520">
        <w:trPr>
          <w:trHeight w:val="349"/>
        </w:trPr>
        <w:tc>
          <w:tcPr>
            <w:tcW w:w="2700" w:type="dxa"/>
          </w:tcPr>
          <w:p w14:paraId="651D7C5A" w14:textId="77777777" w:rsidR="00736520" w:rsidRDefault="00736520" w:rsidP="0073652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Minimum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Interest</w:t>
            </w:r>
            <w:r>
              <w:rPr>
                <w:b/>
                <w:spacing w:val="-2"/>
                <w:w w:val="95"/>
                <w:sz w:val="20"/>
              </w:rPr>
              <w:t xml:space="preserve"> Charge</w:t>
            </w:r>
          </w:p>
        </w:tc>
        <w:tc>
          <w:tcPr>
            <w:tcW w:w="8369" w:type="dxa"/>
          </w:tcPr>
          <w:p w14:paraId="37386CA7" w14:textId="77777777" w:rsidR="00736520" w:rsidRDefault="00736520" w:rsidP="00736520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$0.50.</w:t>
            </w:r>
          </w:p>
        </w:tc>
      </w:tr>
      <w:tr w:rsidR="00736520" w14:paraId="5173725C" w14:textId="77777777" w:rsidTr="00736520">
        <w:trPr>
          <w:trHeight w:val="906"/>
        </w:trPr>
        <w:tc>
          <w:tcPr>
            <w:tcW w:w="2700" w:type="dxa"/>
          </w:tcPr>
          <w:p w14:paraId="2A31E6AE" w14:textId="77777777" w:rsidR="00736520" w:rsidRDefault="00736520" w:rsidP="00736520">
            <w:pPr>
              <w:pStyle w:val="TableParagraph"/>
              <w:spacing w:before="119" w:line="247" w:lineRule="auto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Tips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from the Consumer Financial Protection Bureau</w:t>
            </w:r>
          </w:p>
        </w:tc>
        <w:tc>
          <w:tcPr>
            <w:tcW w:w="8369" w:type="dxa"/>
          </w:tcPr>
          <w:p w14:paraId="576B7BA6" w14:textId="77777777" w:rsidR="00736520" w:rsidRDefault="00736520" w:rsidP="00736520">
            <w:pPr>
              <w:pStyle w:val="TableParagraph"/>
              <w:spacing w:before="119" w:line="247" w:lineRule="auto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 learn more about factors to consider when applying for or using a Credit Card, visit the website of the Consumer Financial Protection Bureau at </w:t>
            </w:r>
            <w:hyperlink r:id="rId5">
              <w:r>
                <w:rPr>
                  <w:b/>
                  <w:color w:val="0000FF"/>
                  <w:spacing w:val="-2"/>
                  <w:sz w:val="20"/>
                  <w:u w:val="thick" w:color="0000FF"/>
                </w:rPr>
                <w:t>http://www.consumerfinance.gov/learnmore</w:t>
              </w:r>
              <w:r>
                <w:rPr>
                  <w:b/>
                  <w:spacing w:val="-2"/>
                  <w:sz w:val="20"/>
                </w:rPr>
                <w:t>.</w:t>
              </w:r>
            </w:hyperlink>
          </w:p>
        </w:tc>
      </w:tr>
    </w:tbl>
    <w:tbl>
      <w:tblPr>
        <w:tblpPr w:leftFromText="180" w:rightFromText="180" w:vertAnchor="text" w:horzAnchor="margin" w:tblpX="90" w:tblpY="2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369"/>
      </w:tblGrid>
      <w:tr w:rsidR="00736520" w14:paraId="451EA1A5" w14:textId="77777777" w:rsidTr="00736520">
        <w:trPr>
          <w:trHeight w:val="251"/>
        </w:trPr>
        <w:tc>
          <w:tcPr>
            <w:tcW w:w="1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113B5A" w14:textId="77777777" w:rsidR="00736520" w:rsidRDefault="00736520" w:rsidP="00736520">
            <w:pPr>
              <w:pStyle w:val="TableParagraph"/>
              <w:spacing w:before="13" w:line="218" w:lineRule="exact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Fees</w:t>
            </w:r>
          </w:p>
        </w:tc>
      </w:tr>
      <w:tr w:rsidR="00736520" w14:paraId="6CAD18A3" w14:textId="77777777" w:rsidTr="00736520">
        <w:trPr>
          <w:trHeight w:val="901"/>
        </w:trPr>
        <w:tc>
          <w:tcPr>
            <w:tcW w:w="2700" w:type="dxa"/>
          </w:tcPr>
          <w:p w14:paraId="432C0863" w14:textId="77777777" w:rsidR="00736520" w:rsidRDefault="00736520" w:rsidP="0073652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Transaction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Fees</w:t>
            </w:r>
          </w:p>
          <w:p w14:paraId="0B4AA8D1" w14:textId="77777777" w:rsidR="00736520" w:rsidRDefault="00736520" w:rsidP="00736520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22"/>
              <w:rPr>
                <w:sz w:val="20"/>
              </w:rPr>
            </w:pPr>
            <w:r>
              <w:rPr>
                <w:w w:val="95"/>
                <w:sz w:val="20"/>
              </w:rPr>
              <w:t>Foreign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Transaction</w:t>
            </w:r>
          </w:p>
        </w:tc>
        <w:tc>
          <w:tcPr>
            <w:tcW w:w="8369" w:type="dxa"/>
          </w:tcPr>
          <w:p w14:paraId="4A3B0E27" w14:textId="77777777" w:rsidR="00736520" w:rsidRDefault="00736520" w:rsidP="00736520">
            <w:pPr>
              <w:pStyle w:val="TableParagraph"/>
              <w:ind w:left="0"/>
              <w:rPr>
                <w:rFonts w:ascii="Times New Roman"/>
              </w:rPr>
            </w:pPr>
          </w:p>
          <w:p w14:paraId="569AB8CC" w14:textId="77777777" w:rsidR="00736520" w:rsidRDefault="00736520" w:rsidP="00736520">
            <w:pPr>
              <w:pStyle w:val="TableParagraph"/>
              <w:spacing w:before="158"/>
              <w:rPr>
                <w:sz w:val="20"/>
              </w:rPr>
            </w:pPr>
            <w:r>
              <w:rPr>
                <w:b/>
                <w:w w:val="95"/>
                <w:sz w:val="20"/>
              </w:rPr>
              <w:t>1.00%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foreign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currency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transaction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U.S.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Dollars.</w:t>
            </w:r>
          </w:p>
          <w:p w14:paraId="08B040A8" w14:textId="77777777" w:rsidR="00736520" w:rsidRDefault="00736520" w:rsidP="00736520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w w:val="95"/>
                <w:sz w:val="20"/>
              </w:rPr>
              <w:t>1.00%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U.S.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Dollar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transaction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occurs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foreign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country.</w:t>
            </w:r>
          </w:p>
        </w:tc>
      </w:tr>
      <w:tr w:rsidR="00736520" w14:paraId="43244C0D" w14:textId="77777777" w:rsidTr="00736520">
        <w:trPr>
          <w:trHeight w:val="952"/>
        </w:trPr>
        <w:tc>
          <w:tcPr>
            <w:tcW w:w="2700" w:type="dxa"/>
          </w:tcPr>
          <w:p w14:paraId="47971A7A" w14:textId="77777777" w:rsidR="00736520" w:rsidRDefault="00736520" w:rsidP="0073652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Penalty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Fees</w:t>
            </w:r>
          </w:p>
          <w:p w14:paraId="0ADF9E81" w14:textId="77777777" w:rsidR="00736520" w:rsidRDefault="00736520" w:rsidP="00736520">
            <w:pPr>
              <w:pStyle w:val="TableParagraph"/>
              <w:numPr>
                <w:ilvl w:val="0"/>
                <w:numId w:val="1"/>
              </w:numPr>
              <w:tabs>
                <w:tab w:val="left" w:pos="683"/>
                <w:tab w:val="left" w:pos="684"/>
              </w:tabs>
              <w:spacing w:before="121" w:line="244" w:lineRule="exact"/>
              <w:rPr>
                <w:sz w:val="20"/>
              </w:rPr>
            </w:pPr>
            <w:r>
              <w:rPr>
                <w:w w:val="95"/>
                <w:sz w:val="20"/>
              </w:rPr>
              <w:t>Late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Payment</w:t>
            </w:r>
          </w:p>
          <w:p w14:paraId="3FD068B8" w14:textId="77777777" w:rsidR="00736520" w:rsidRDefault="00736520" w:rsidP="00736520">
            <w:pPr>
              <w:pStyle w:val="TableParagraph"/>
              <w:numPr>
                <w:ilvl w:val="0"/>
                <w:numId w:val="1"/>
              </w:numPr>
              <w:tabs>
                <w:tab w:val="left" w:pos="683"/>
                <w:tab w:val="left" w:pos="684"/>
              </w:tabs>
              <w:spacing w:line="244" w:lineRule="exact"/>
              <w:rPr>
                <w:sz w:val="20"/>
              </w:rPr>
            </w:pPr>
            <w:r>
              <w:rPr>
                <w:w w:val="95"/>
                <w:sz w:val="20"/>
              </w:rPr>
              <w:t>Returned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</w:t>
            </w:r>
          </w:p>
        </w:tc>
        <w:tc>
          <w:tcPr>
            <w:tcW w:w="8369" w:type="dxa"/>
          </w:tcPr>
          <w:p w14:paraId="394E3AFA" w14:textId="77777777" w:rsidR="00736520" w:rsidRDefault="00736520" w:rsidP="00736520">
            <w:pPr>
              <w:pStyle w:val="TableParagraph"/>
              <w:ind w:left="0"/>
              <w:rPr>
                <w:rFonts w:ascii="Times New Roman"/>
              </w:rPr>
            </w:pPr>
          </w:p>
          <w:p w14:paraId="09396463" w14:textId="77777777" w:rsidR="00736520" w:rsidRDefault="00736520" w:rsidP="00736520">
            <w:pPr>
              <w:pStyle w:val="TableParagraph"/>
              <w:spacing w:before="16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Up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$25.00</w:t>
            </w:r>
          </w:p>
          <w:p w14:paraId="79CCDC17" w14:textId="77777777" w:rsidR="00736520" w:rsidRDefault="00736520" w:rsidP="0073652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Up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$25.00</w:t>
            </w:r>
          </w:p>
        </w:tc>
      </w:tr>
    </w:tbl>
    <w:p w14:paraId="5F60B9A5" w14:textId="77777777" w:rsidR="00E53F73" w:rsidRDefault="00E53F73">
      <w:pPr>
        <w:spacing w:line="216" w:lineRule="exact"/>
        <w:rPr>
          <w:sz w:val="20"/>
        </w:rPr>
      </w:pPr>
    </w:p>
    <w:p w14:paraId="61A48A3C" w14:textId="77777777" w:rsidR="00736520" w:rsidRPr="00736520" w:rsidRDefault="00736520" w:rsidP="00736520">
      <w:pPr>
        <w:rPr>
          <w:sz w:val="20"/>
        </w:rPr>
      </w:pPr>
    </w:p>
    <w:p w14:paraId="7743569F" w14:textId="77777777" w:rsidR="00736520" w:rsidRDefault="00736520" w:rsidP="00736520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How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We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Will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Calculate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Your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Balance: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sz w:val="20"/>
        </w:rPr>
        <w:t>We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use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method called "average daily balance (including new purchases).” See Your Account Agreement for details.</w:t>
      </w:r>
    </w:p>
    <w:p w14:paraId="4E04865D" w14:textId="77777777" w:rsidR="00736520" w:rsidRPr="00736520" w:rsidRDefault="00736520" w:rsidP="00736520">
      <w:pPr>
        <w:rPr>
          <w:sz w:val="20"/>
        </w:rPr>
      </w:pPr>
    </w:p>
    <w:p w14:paraId="0133C98C" w14:textId="77777777" w:rsidR="00736520" w:rsidRPr="00736520" w:rsidRDefault="00736520" w:rsidP="00736520">
      <w:pPr>
        <w:rPr>
          <w:sz w:val="20"/>
        </w:rPr>
      </w:pPr>
    </w:p>
    <w:p w14:paraId="1B572EFC" w14:textId="77777777" w:rsidR="00736520" w:rsidRPr="00736520" w:rsidRDefault="00736520" w:rsidP="00736520">
      <w:pPr>
        <w:rPr>
          <w:sz w:val="20"/>
        </w:rPr>
      </w:pPr>
    </w:p>
    <w:p w14:paraId="23980CC6" w14:textId="77777777" w:rsidR="00736520" w:rsidRPr="00736520" w:rsidRDefault="00736520" w:rsidP="00736520">
      <w:pPr>
        <w:rPr>
          <w:sz w:val="20"/>
        </w:rPr>
      </w:pPr>
    </w:p>
    <w:sectPr w:rsidR="00736520" w:rsidRPr="00736520" w:rsidSect="00A84ACF">
      <w:pgSz w:w="12240" w:h="15840"/>
      <w:pgMar w:top="144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A1680"/>
    <w:multiLevelType w:val="hybridMultilevel"/>
    <w:tmpl w:val="D00E55A6"/>
    <w:lvl w:ilvl="0" w:tplc="45E034F8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61BE4D22">
      <w:numFmt w:val="bullet"/>
      <w:lvlText w:val="•"/>
      <w:lvlJc w:val="left"/>
      <w:pPr>
        <w:ind w:left="881" w:hanging="361"/>
      </w:pPr>
      <w:rPr>
        <w:rFonts w:hint="default"/>
      </w:rPr>
    </w:lvl>
    <w:lvl w:ilvl="2" w:tplc="A4C225D8">
      <w:numFmt w:val="bullet"/>
      <w:lvlText w:val="•"/>
      <w:lvlJc w:val="left"/>
      <w:pPr>
        <w:ind w:left="1082" w:hanging="361"/>
      </w:pPr>
      <w:rPr>
        <w:rFonts w:hint="default"/>
      </w:rPr>
    </w:lvl>
    <w:lvl w:ilvl="3" w:tplc="37A2C2F0">
      <w:numFmt w:val="bullet"/>
      <w:lvlText w:val="•"/>
      <w:lvlJc w:val="left"/>
      <w:pPr>
        <w:ind w:left="1283" w:hanging="361"/>
      </w:pPr>
      <w:rPr>
        <w:rFonts w:hint="default"/>
      </w:rPr>
    </w:lvl>
    <w:lvl w:ilvl="4" w:tplc="2D62947C">
      <w:numFmt w:val="bullet"/>
      <w:lvlText w:val="•"/>
      <w:lvlJc w:val="left"/>
      <w:pPr>
        <w:ind w:left="1484" w:hanging="361"/>
      </w:pPr>
      <w:rPr>
        <w:rFonts w:hint="default"/>
      </w:rPr>
    </w:lvl>
    <w:lvl w:ilvl="5" w:tplc="FE58FD38">
      <w:numFmt w:val="bullet"/>
      <w:lvlText w:val="•"/>
      <w:lvlJc w:val="left"/>
      <w:pPr>
        <w:ind w:left="1685" w:hanging="361"/>
      </w:pPr>
      <w:rPr>
        <w:rFonts w:hint="default"/>
      </w:rPr>
    </w:lvl>
    <w:lvl w:ilvl="6" w:tplc="DF30F1A6">
      <w:numFmt w:val="bullet"/>
      <w:lvlText w:val="•"/>
      <w:lvlJc w:val="left"/>
      <w:pPr>
        <w:ind w:left="1886" w:hanging="361"/>
      </w:pPr>
      <w:rPr>
        <w:rFonts w:hint="default"/>
      </w:rPr>
    </w:lvl>
    <w:lvl w:ilvl="7" w:tplc="004A7FAA">
      <w:numFmt w:val="bullet"/>
      <w:lvlText w:val="•"/>
      <w:lvlJc w:val="left"/>
      <w:pPr>
        <w:ind w:left="2087" w:hanging="361"/>
      </w:pPr>
      <w:rPr>
        <w:rFonts w:hint="default"/>
      </w:rPr>
    </w:lvl>
    <w:lvl w:ilvl="8" w:tplc="2860536A">
      <w:numFmt w:val="bullet"/>
      <w:lvlText w:val="•"/>
      <w:lvlJc w:val="left"/>
      <w:pPr>
        <w:ind w:left="2288" w:hanging="361"/>
      </w:pPr>
      <w:rPr>
        <w:rFonts w:hint="default"/>
      </w:rPr>
    </w:lvl>
  </w:abstractNum>
  <w:abstractNum w:abstractNumId="1" w15:restartNumberingAfterBreak="0">
    <w:nsid w:val="7CF17D92"/>
    <w:multiLevelType w:val="hybridMultilevel"/>
    <w:tmpl w:val="34C2738E"/>
    <w:lvl w:ilvl="0" w:tplc="6A26BE7E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8F84204">
      <w:numFmt w:val="bullet"/>
      <w:lvlText w:val="•"/>
      <w:lvlJc w:val="left"/>
      <w:pPr>
        <w:ind w:left="881" w:hanging="361"/>
      </w:pPr>
      <w:rPr>
        <w:rFonts w:hint="default"/>
      </w:rPr>
    </w:lvl>
    <w:lvl w:ilvl="2" w:tplc="27487DB2">
      <w:numFmt w:val="bullet"/>
      <w:lvlText w:val="•"/>
      <w:lvlJc w:val="left"/>
      <w:pPr>
        <w:ind w:left="1082" w:hanging="361"/>
      </w:pPr>
      <w:rPr>
        <w:rFonts w:hint="default"/>
      </w:rPr>
    </w:lvl>
    <w:lvl w:ilvl="3" w:tplc="A17EF35E">
      <w:numFmt w:val="bullet"/>
      <w:lvlText w:val="•"/>
      <w:lvlJc w:val="left"/>
      <w:pPr>
        <w:ind w:left="1283" w:hanging="361"/>
      </w:pPr>
      <w:rPr>
        <w:rFonts w:hint="default"/>
      </w:rPr>
    </w:lvl>
    <w:lvl w:ilvl="4" w:tplc="E1283A46">
      <w:numFmt w:val="bullet"/>
      <w:lvlText w:val="•"/>
      <w:lvlJc w:val="left"/>
      <w:pPr>
        <w:ind w:left="1484" w:hanging="361"/>
      </w:pPr>
      <w:rPr>
        <w:rFonts w:hint="default"/>
      </w:rPr>
    </w:lvl>
    <w:lvl w:ilvl="5" w:tplc="10A4A2D0">
      <w:numFmt w:val="bullet"/>
      <w:lvlText w:val="•"/>
      <w:lvlJc w:val="left"/>
      <w:pPr>
        <w:ind w:left="1685" w:hanging="361"/>
      </w:pPr>
      <w:rPr>
        <w:rFonts w:hint="default"/>
      </w:rPr>
    </w:lvl>
    <w:lvl w:ilvl="6" w:tplc="70784A22">
      <w:numFmt w:val="bullet"/>
      <w:lvlText w:val="•"/>
      <w:lvlJc w:val="left"/>
      <w:pPr>
        <w:ind w:left="1886" w:hanging="361"/>
      </w:pPr>
      <w:rPr>
        <w:rFonts w:hint="default"/>
      </w:rPr>
    </w:lvl>
    <w:lvl w:ilvl="7" w:tplc="7E04ECD2">
      <w:numFmt w:val="bullet"/>
      <w:lvlText w:val="•"/>
      <w:lvlJc w:val="left"/>
      <w:pPr>
        <w:ind w:left="2087" w:hanging="361"/>
      </w:pPr>
      <w:rPr>
        <w:rFonts w:hint="default"/>
      </w:rPr>
    </w:lvl>
    <w:lvl w:ilvl="8" w:tplc="DB04EB70">
      <w:numFmt w:val="bullet"/>
      <w:lvlText w:val="•"/>
      <w:lvlJc w:val="left"/>
      <w:pPr>
        <w:ind w:left="2288" w:hanging="361"/>
      </w:pPr>
      <w:rPr>
        <w:rFonts w:hint="default"/>
      </w:rPr>
    </w:lvl>
  </w:abstractNum>
  <w:num w:numId="1" w16cid:durableId="939144476">
    <w:abstractNumId w:val="1"/>
  </w:num>
  <w:num w:numId="2" w16cid:durableId="139797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3"/>
    <w:rsid w:val="00220628"/>
    <w:rsid w:val="00736520"/>
    <w:rsid w:val="00A16159"/>
    <w:rsid w:val="00A84ACF"/>
    <w:rsid w:val="00B64F9B"/>
    <w:rsid w:val="00E53F73"/>
    <w:rsid w:val="00F1234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B8AF"/>
  <w15:docId w15:val="{15F8E185-CCCA-4516-A326-571CEC8E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merfinance.gov/learnm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ATMC054Web.doc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ATMC054Web.doc</dc:title>
  <dc:creator>Support</dc:creator>
  <cp:lastModifiedBy>Marie Bragdon</cp:lastModifiedBy>
  <cp:revision>2</cp:revision>
  <cp:lastPrinted>2023-07-27T12:43:00Z</cp:lastPrinted>
  <dcterms:created xsi:type="dcterms:W3CDTF">2024-12-19T11:29:00Z</dcterms:created>
  <dcterms:modified xsi:type="dcterms:W3CDTF">2024-12-19T11:29:00Z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2023-05-01T00:00:00Z</vt:filetime>
  </property>
</Properties>
</file>